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662" w:rsidRDefault="00FD1662" w:rsidP="00FD1662">
      <w:pPr>
        <w:jc w:val="center"/>
        <w:rPr>
          <w:b/>
          <w:color w:val="FF0000"/>
          <w:sz w:val="36"/>
        </w:rPr>
      </w:pPr>
    </w:p>
    <w:p w:rsidR="00FD1662" w:rsidRPr="00FD1662" w:rsidRDefault="00FD1662" w:rsidP="00FD1662">
      <w:pPr>
        <w:jc w:val="center"/>
        <w:rPr>
          <w:color w:val="FF0000"/>
          <w:sz w:val="36"/>
        </w:rPr>
      </w:pPr>
      <w:r w:rsidRPr="00FD1662">
        <w:rPr>
          <w:b/>
          <w:color w:val="FF0000"/>
          <w:sz w:val="36"/>
        </w:rPr>
        <w:t>AFFICHAGES</w:t>
      </w:r>
      <w:r w:rsidRPr="00FD1662">
        <w:rPr>
          <w:color w:val="FF0000"/>
          <w:sz w:val="36"/>
        </w:rPr>
        <w:t xml:space="preserve"> </w:t>
      </w:r>
      <w:r w:rsidRPr="00FD1662">
        <w:rPr>
          <w:b/>
          <w:color w:val="FF0000"/>
          <w:sz w:val="36"/>
        </w:rPr>
        <w:t>OBLIGATOIRES</w:t>
      </w:r>
    </w:p>
    <w:p w:rsidR="00FD1662" w:rsidRDefault="00FD1662" w:rsidP="00FD1662">
      <w:r>
        <w:t xml:space="preserve">Tout club FFGym doit prévoir un affichage visible de tous comprenant une copie : </w:t>
      </w:r>
    </w:p>
    <w:p w:rsidR="00FD1662" w:rsidRDefault="00FD1662" w:rsidP="00FD1662">
      <w:pPr>
        <w:pStyle w:val="Paragraphedeliste"/>
        <w:numPr>
          <w:ilvl w:val="0"/>
          <w:numId w:val="3"/>
        </w:numPr>
        <w:spacing w:before="240" w:after="240"/>
        <w:ind w:left="714" w:hanging="357"/>
        <w:contextualSpacing w:val="0"/>
        <w:jc w:val="both"/>
      </w:pPr>
      <w:r>
        <w:t xml:space="preserve">Des diplômes ou autres qualifications ainsi que la carte professionnelle de chaque personne enseignant, encadrant, animant une activité physique ou sportive ou entraînant ses pratiquants contre rémunération au sein de l’établissement. </w:t>
      </w:r>
    </w:p>
    <w:p w:rsidR="00FD1662" w:rsidRDefault="00FD1662" w:rsidP="00FD1662">
      <w:pPr>
        <w:pStyle w:val="Paragraphedeliste"/>
        <w:numPr>
          <w:ilvl w:val="0"/>
          <w:numId w:val="3"/>
        </w:numPr>
        <w:spacing w:before="240" w:after="240"/>
        <w:ind w:left="714" w:hanging="357"/>
        <w:contextualSpacing w:val="0"/>
        <w:jc w:val="both"/>
      </w:pPr>
      <w:r>
        <w:t>D</w:t>
      </w:r>
      <w:r>
        <w:t>es diplômes des cadres fédéraux de chaque discipline gymnique (animateur, moniteur, entraîneur) ainsi que le PSC1.</w:t>
      </w:r>
    </w:p>
    <w:p w:rsidR="00FD1662" w:rsidRDefault="00FD1662" w:rsidP="00FD1662">
      <w:pPr>
        <w:pStyle w:val="Paragraphedeliste"/>
        <w:numPr>
          <w:ilvl w:val="0"/>
          <w:numId w:val="3"/>
        </w:numPr>
        <w:spacing w:before="240" w:after="240"/>
        <w:ind w:left="714" w:hanging="357"/>
        <w:contextualSpacing w:val="0"/>
        <w:jc w:val="both"/>
      </w:pPr>
      <w:r>
        <w:t xml:space="preserve">De l’attestation de stagiaire dans le cadre de la préparation d’un diplôme permettant d’enseigner, d’encadrer ou d’animer une activité physique ou sportive ou d’entraîner ses pratiquants. </w:t>
      </w:r>
    </w:p>
    <w:p w:rsidR="00FD1662" w:rsidRDefault="00FD1662" w:rsidP="00FD1662">
      <w:pPr>
        <w:pStyle w:val="Paragraphedeliste"/>
        <w:numPr>
          <w:ilvl w:val="0"/>
          <w:numId w:val="3"/>
        </w:numPr>
        <w:spacing w:before="240" w:after="240"/>
        <w:ind w:left="714" w:hanging="357"/>
        <w:contextualSpacing w:val="0"/>
        <w:jc w:val="both"/>
      </w:pPr>
      <w:r>
        <w:t xml:space="preserve">Des textes fixant les garanties d’hygiène et de sécurité applicables à l’établissement. </w:t>
      </w:r>
    </w:p>
    <w:p w:rsidR="00FD1662" w:rsidRDefault="00FD1662" w:rsidP="00FD1662">
      <w:pPr>
        <w:pStyle w:val="Paragraphedeliste"/>
        <w:numPr>
          <w:ilvl w:val="0"/>
          <w:numId w:val="3"/>
        </w:numPr>
        <w:spacing w:before="240" w:after="240"/>
        <w:ind w:left="714" w:hanging="357"/>
        <w:contextualSpacing w:val="0"/>
        <w:jc w:val="both"/>
      </w:pPr>
      <w:r>
        <w:t xml:space="preserve">De l’attestation du contrat d’assurance couvrant la responsabilité civile de l’établissement, celle de ses préposés salariés ou bénévoles et celle des pratiquants de l’activité physique et sportive. </w:t>
      </w:r>
      <w:bookmarkStart w:id="0" w:name="_GoBack"/>
      <w:bookmarkEnd w:id="0"/>
    </w:p>
    <w:p w:rsidR="00FD1662" w:rsidRDefault="00FD1662" w:rsidP="00FD1662">
      <w:pPr>
        <w:pStyle w:val="Paragraphedeliste"/>
        <w:numPr>
          <w:ilvl w:val="0"/>
          <w:numId w:val="3"/>
        </w:numPr>
        <w:spacing w:before="240" w:after="240"/>
        <w:ind w:left="714" w:hanging="357"/>
        <w:contextualSpacing w:val="0"/>
        <w:jc w:val="both"/>
      </w:pPr>
      <w:r>
        <w:t>Les numéros d’urgence (15,17,18,114,112)</w:t>
      </w:r>
    </w:p>
    <w:p w:rsidR="00FD1662" w:rsidRDefault="00FD1662" w:rsidP="00FD1662">
      <w:pPr>
        <w:pStyle w:val="Paragraphedeliste"/>
        <w:numPr>
          <w:ilvl w:val="0"/>
          <w:numId w:val="3"/>
        </w:numPr>
        <w:spacing w:before="240" w:after="240"/>
        <w:ind w:left="714" w:hanging="357"/>
        <w:contextualSpacing w:val="0"/>
        <w:jc w:val="both"/>
      </w:pPr>
      <w:r>
        <w:t>Les consignes de sécurité incendie (incendie, évacuation, accident)</w:t>
      </w:r>
    </w:p>
    <w:p w:rsidR="00FD1662" w:rsidRDefault="00FD1662" w:rsidP="00FD1662">
      <w:pPr>
        <w:pStyle w:val="Paragraphedeliste"/>
        <w:numPr>
          <w:ilvl w:val="0"/>
          <w:numId w:val="3"/>
        </w:numPr>
        <w:spacing w:before="240" w:after="240"/>
        <w:ind w:left="714" w:hanging="357"/>
        <w:contextualSpacing w:val="0"/>
        <w:jc w:val="both"/>
      </w:pPr>
      <w:r>
        <w:t xml:space="preserve">Les consignes en cas d’attaque terroriste : </w:t>
      </w:r>
      <w:hyperlink r:id="rId7" w:history="1">
        <w:r w:rsidRPr="00D83C1C">
          <w:rPr>
            <w:rStyle w:val="Lienhypertexte"/>
          </w:rPr>
          <w:t>exemple d’affiche</w:t>
        </w:r>
      </w:hyperlink>
    </w:p>
    <w:p w:rsidR="00FD1662" w:rsidRDefault="00FD1662" w:rsidP="00FD1662">
      <w:pPr>
        <w:pStyle w:val="Paragraphedeliste"/>
        <w:numPr>
          <w:ilvl w:val="0"/>
          <w:numId w:val="3"/>
        </w:numPr>
        <w:spacing w:before="240" w:after="240"/>
        <w:ind w:left="714" w:hanging="357"/>
        <w:contextualSpacing w:val="0"/>
        <w:jc w:val="both"/>
      </w:pPr>
      <w:r>
        <w:t>Les consignes d’utilisation des fosses de réception (si lieu) </w:t>
      </w:r>
    </w:p>
    <w:p w:rsidR="00FD1662" w:rsidRDefault="00FD1662" w:rsidP="00FD1662">
      <w:pPr>
        <w:pStyle w:val="Paragraphedeliste"/>
        <w:numPr>
          <w:ilvl w:val="0"/>
          <w:numId w:val="3"/>
        </w:numPr>
        <w:spacing w:before="240" w:after="240"/>
        <w:ind w:left="714" w:hanging="357"/>
        <w:contextualSpacing w:val="0"/>
        <w:jc w:val="both"/>
      </w:pPr>
      <w:r>
        <w:t xml:space="preserve">Emplacement du défibrillateur (vérifier régulièrement son bon fonctionnement et le maîtriser). </w:t>
      </w:r>
    </w:p>
    <w:p w:rsidR="0090478C" w:rsidRDefault="0090478C"/>
    <w:sectPr w:rsidR="0090478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751" w:rsidRDefault="00A67751" w:rsidP="00FD1662">
      <w:pPr>
        <w:spacing w:after="0" w:line="240" w:lineRule="auto"/>
      </w:pPr>
      <w:r>
        <w:separator/>
      </w:r>
    </w:p>
  </w:endnote>
  <w:endnote w:type="continuationSeparator" w:id="0">
    <w:p w:rsidR="00A67751" w:rsidRDefault="00A67751" w:rsidP="00FD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ronos mm">
    <w:altName w:val="Cronos MM"/>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751" w:rsidRDefault="00A67751" w:rsidP="00FD1662">
      <w:pPr>
        <w:spacing w:after="0" w:line="240" w:lineRule="auto"/>
      </w:pPr>
      <w:r>
        <w:separator/>
      </w:r>
    </w:p>
  </w:footnote>
  <w:footnote w:type="continuationSeparator" w:id="0">
    <w:p w:rsidR="00A67751" w:rsidRDefault="00A67751" w:rsidP="00FD1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662" w:rsidRDefault="00FD1662" w:rsidP="00FD1662">
    <w:pPr>
      <w:pStyle w:val="En-tte"/>
      <w:tabs>
        <w:tab w:val="clear" w:pos="4536"/>
        <w:tab w:val="clear" w:pos="9072"/>
        <w:tab w:val="left" w:pos="5893"/>
      </w:tabs>
    </w:pPr>
    <w:r>
      <w:rPr>
        <w:noProof/>
        <w:lang w:eastAsia="fr-FR"/>
      </w:rPr>
      <w:drawing>
        <wp:anchor distT="0" distB="0" distL="114300" distR="114300" simplePos="0" relativeHeight="251659264" behindDoc="1" locked="0" layoutInCell="1" allowOverlap="1" wp14:anchorId="1F70E555" wp14:editId="491AAA32">
          <wp:simplePos x="0" y="0"/>
          <wp:positionH relativeFrom="page">
            <wp:align>right</wp:align>
          </wp:positionH>
          <wp:positionV relativeFrom="paragraph">
            <wp:posOffset>-450215</wp:posOffset>
          </wp:positionV>
          <wp:extent cx="7575758" cy="10719701"/>
          <wp:effectExtent l="0" t="0" r="635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758" cy="1071970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E065E"/>
    <w:multiLevelType w:val="hybridMultilevel"/>
    <w:tmpl w:val="D54670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3B6942"/>
    <w:multiLevelType w:val="hybridMultilevel"/>
    <w:tmpl w:val="9DCE6770"/>
    <w:lvl w:ilvl="0" w:tplc="DBEA3832">
      <w:start w:val="1"/>
      <w:numFmt w:val="bullet"/>
      <w:lvlText w:val=""/>
      <w:lvlJc w:val="left"/>
      <w:pPr>
        <w:ind w:left="6" w:hanging="360"/>
      </w:pPr>
      <w:rPr>
        <w:rFonts w:ascii="Wingdings" w:hAnsi="Wingdings"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2" w15:restartNumberingAfterBreak="0">
    <w:nsid w:val="5BB32A35"/>
    <w:multiLevelType w:val="hybridMultilevel"/>
    <w:tmpl w:val="A9FA75F0"/>
    <w:lvl w:ilvl="0" w:tplc="147E803A">
      <w:start w:val="3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62"/>
    <w:rsid w:val="002C1A86"/>
    <w:rsid w:val="00560282"/>
    <w:rsid w:val="0090478C"/>
    <w:rsid w:val="00986C25"/>
    <w:rsid w:val="00A67751"/>
    <w:rsid w:val="00AD3C0D"/>
    <w:rsid w:val="00E7440D"/>
    <w:rsid w:val="00FD1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BC6F"/>
  <w15:chartTrackingRefBased/>
  <w15:docId w15:val="{79911374-BD25-4E64-B066-65F403D3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ronos mm" w:eastAsiaTheme="minorHAnsi" w:hAnsi="cronos mm" w:cstheme="min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662"/>
  </w:style>
  <w:style w:type="paragraph" w:styleId="Titre1">
    <w:name w:val="heading 1"/>
    <w:basedOn w:val="Normal"/>
    <w:next w:val="Normal"/>
    <w:link w:val="Titre1Car"/>
    <w:uiPriority w:val="9"/>
    <w:qFormat/>
    <w:rsid w:val="00560282"/>
    <w:pPr>
      <w:keepNext/>
      <w:keepLines/>
      <w:spacing w:before="240" w:after="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0282"/>
    <w:pPr>
      <w:keepNext/>
      <w:keepLines/>
      <w:spacing w:before="40" w:after="0"/>
      <w:outlineLvl w:val="1"/>
    </w:pPr>
    <w:rPr>
      <w:rFonts w:eastAsiaTheme="majorEastAsia"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60282"/>
    <w:rPr>
      <w:rFonts w:eastAsiaTheme="majorEastAsia" w:cstheme="majorBidi"/>
      <w:color w:val="2F5496" w:themeColor="accent1" w:themeShade="BF"/>
      <w:sz w:val="26"/>
      <w:szCs w:val="26"/>
    </w:rPr>
  </w:style>
  <w:style w:type="character" w:customStyle="1" w:styleId="Titre1Car">
    <w:name w:val="Titre 1 Car"/>
    <w:basedOn w:val="Policepardfaut"/>
    <w:link w:val="Titre1"/>
    <w:uiPriority w:val="9"/>
    <w:rsid w:val="00560282"/>
    <w:rPr>
      <w:rFonts w:eastAsiaTheme="majorEastAsia" w:cstheme="majorBidi"/>
      <w:color w:val="2F5496" w:themeColor="accent1" w:themeShade="BF"/>
      <w:sz w:val="32"/>
      <w:szCs w:val="32"/>
    </w:rPr>
  </w:style>
  <w:style w:type="paragraph" w:styleId="Titre">
    <w:name w:val="Title"/>
    <w:basedOn w:val="Normal"/>
    <w:next w:val="Normal"/>
    <w:link w:val="TitreCar"/>
    <w:uiPriority w:val="10"/>
    <w:qFormat/>
    <w:rsid w:val="00560282"/>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560282"/>
    <w:rPr>
      <w:rFonts w:eastAsiaTheme="majorEastAsia" w:cstheme="majorBidi"/>
      <w:spacing w:val="-10"/>
      <w:kern w:val="28"/>
      <w:sz w:val="56"/>
      <w:szCs w:val="56"/>
    </w:rPr>
  </w:style>
  <w:style w:type="paragraph" w:styleId="Sous-titre">
    <w:name w:val="Subtitle"/>
    <w:basedOn w:val="Normal"/>
    <w:next w:val="Normal"/>
    <w:link w:val="Sous-titreCar"/>
    <w:uiPriority w:val="11"/>
    <w:qFormat/>
    <w:rsid w:val="00560282"/>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560282"/>
    <w:rPr>
      <w:rFonts w:eastAsiaTheme="minorEastAsia"/>
      <w:color w:val="5A5A5A" w:themeColor="text1" w:themeTint="A5"/>
      <w:spacing w:val="15"/>
      <w:sz w:val="22"/>
    </w:rPr>
  </w:style>
  <w:style w:type="character" w:styleId="Accentuationlgre">
    <w:name w:val="Subtle Emphasis"/>
    <w:basedOn w:val="Policepardfaut"/>
    <w:uiPriority w:val="19"/>
    <w:qFormat/>
    <w:rsid w:val="00560282"/>
    <w:rPr>
      <w:rFonts w:ascii="cronos mm" w:hAnsi="cronos mm"/>
      <w:i/>
      <w:iCs/>
      <w:color w:val="404040" w:themeColor="text1" w:themeTint="BF"/>
    </w:rPr>
  </w:style>
  <w:style w:type="character" w:styleId="Accentuationintense">
    <w:name w:val="Intense Emphasis"/>
    <w:basedOn w:val="Policepardfaut"/>
    <w:uiPriority w:val="21"/>
    <w:qFormat/>
    <w:rsid w:val="00560282"/>
    <w:rPr>
      <w:rFonts w:ascii="cronos mm" w:hAnsi="cronos mm"/>
      <w:i/>
      <w:iCs/>
      <w:color w:val="4472C4" w:themeColor="accent1"/>
    </w:rPr>
  </w:style>
  <w:style w:type="paragraph" w:styleId="Citationintense">
    <w:name w:val="Intense Quote"/>
    <w:basedOn w:val="Normal"/>
    <w:next w:val="Normal"/>
    <w:link w:val="CitationintenseCar"/>
    <w:uiPriority w:val="30"/>
    <w:qFormat/>
    <w:rsid w:val="0056028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560282"/>
    <w:rPr>
      <w:i/>
      <w:iCs/>
      <w:color w:val="4472C4" w:themeColor="accent1"/>
    </w:rPr>
  </w:style>
  <w:style w:type="paragraph" w:styleId="Paragraphedeliste">
    <w:name w:val="List Paragraph"/>
    <w:basedOn w:val="Normal"/>
    <w:uiPriority w:val="34"/>
    <w:qFormat/>
    <w:rsid w:val="00FD1662"/>
    <w:pPr>
      <w:ind w:left="720"/>
      <w:contextualSpacing/>
    </w:pPr>
  </w:style>
  <w:style w:type="character" w:styleId="Lienhypertexte">
    <w:name w:val="Hyperlink"/>
    <w:basedOn w:val="Policepardfaut"/>
    <w:uiPriority w:val="99"/>
    <w:unhideWhenUsed/>
    <w:rsid w:val="00FD1662"/>
    <w:rPr>
      <w:color w:val="0563C1" w:themeColor="hyperlink"/>
      <w:u w:val="single"/>
    </w:rPr>
  </w:style>
  <w:style w:type="paragraph" w:styleId="En-tte">
    <w:name w:val="header"/>
    <w:basedOn w:val="Normal"/>
    <w:link w:val="En-tteCar"/>
    <w:uiPriority w:val="99"/>
    <w:unhideWhenUsed/>
    <w:rsid w:val="00FD1662"/>
    <w:pPr>
      <w:tabs>
        <w:tab w:val="center" w:pos="4536"/>
        <w:tab w:val="right" w:pos="9072"/>
      </w:tabs>
      <w:spacing w:after="0" w:line="240" w:lineRule="auto"/>
    </w:pPr>
  </w:style>
  <w:style w:type="character" w:customStyle="1" w:styleId="En-tteCar">
    <w:name w:val="En-tête Car"/>
    <w:basedOn w:val="Policepardfaut"/>
    <w:link w:val="En-tte"/>
    <w:uiPriority w:val="99"/>
    <w:rsid w:val="00FD1662"/>
  </w:style>
  <w:style w:type="paragraph" w:styleId="Pieddepage">
    <w:name w:val="footer"/>
    <w:basedOn w:val="Normal"/>
    <w:link w:val="PieddepageCar"/>
    <w:uiPriority w:val="99"/>
    <w:unhideWhenUsed/>
    <w:rsid w:val="00FD16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be.gouv.fr/content/download/14016/97060/file/Affiche%20reagir%20en%20cas%20d'attaque%20terroriste%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216</Words>
  <Characters>1188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Yaëlle Balcou</dc:creator>
  <cp:keywords/>
  <dc:description/>
  <cp:lastModifiedBy>Yaëlle Balcou</cp:lastModifiedBy>
  <cp:revision>1</cp:revision>
  <dcterms:created xsi:type="dcterms:W3CDTF">2022-01-18T14:29:00Z</dcterms:created>
  <dcterms:modified xsi:type="dcterms:W3CDTF">2022-01-18T15:35:00Z</dcterms:modified>
</cp:coreProperties>
</file>